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Circle Graph</w:t>
      </w:r>
    </w:p>
    <w:p w:rsidR="00000000" w:rsidDel="00000000" w:rsidP="00000000" w:rsidRDefault="00000000" w:rsidRPr="00000000" w14:paraId="00000003">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circle graph is also known as a pie chart, is a type of graph that uses a circle, divided into sectors, to represent the data that is being analyzed. The size of each sector corresponds to the proportion of the data that belongs to that category. Different colors can be used to represent different categories of data. Circle graphs are mostly used to show the proportion of different categories of data such as the proportion of different types of vehicles on a road.</w:t>
      </w:r>
    </w:p>
    <w:p w:rsidR="00000000" w:rsidDel="00000000" w:rsidP="00000000" w:rsidRDefault="00000000" w:rsidRPr="00000000" w14:paraId="0000000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anchor allowOverlap="1" behindDoc="1" distB="0" distT="0" distL="114300" distR="114300" hidden="0" layoutInCell="1" locked="0" relativeHeight="0" simplePos="0">
            <wp:simplePos x="0" y="0"/>
            <wp:positionH relativeFrom="column">
              <wp:posOffset>1752600</wp:posOffset>
            </wp:positionH>
            <wp:positionV relativeFrom="paragraph">
              <wp:posOffset>133350</wp:posOffset>
            </wp:positionV>
            <wp:extent cx="2599690" cy="2599690"/>
            <wp:effectExtent b="0" l="0" r="0" t="0"/>
            <wp:wrapNone/>
            <wp:docPr descr="Shape&#10;&#10;Description automatically generated with low confidence" id="1"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2599690" cy="2599690"/>
                    </a:xfrm>
                    <a:prstGeom prst="rect"/>
                    <a:ln/>
                  </pic:spPr>
                </pic:pic>
              </a:graphicData>
            </a:graphic>
          </wp:anchor>
        </w:drawing>
      </w:r>
    </w:p>
    <w:p w:rsidR="00000000" w:rsidDel="00000000" w:rsidP="00000000" w:rsidRDefault="00000000" w:rsidRPr="00000000" w14:paraId="00000005">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above circle graph shows the proportion of different types of vehicles on a road. Each type of vehicle is represented by a sector of the circle, and the size of each sector corresponds to the proportion of vehicles on the road that belong to that category.      </w:t>
      </w:r>
    </w:p>
    <w:p w:rsidR="00000000" w:rsidDel="00000000" w:rsidP="00000000" w:rsidRDefault="00000000" w:rsidRPr="00000000" w14:paraId="0000000F">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conclusion, the type of graph used depends on the nature of the data that is being analyzed and the purpose of the analysis. By understanding how different types of graphs work, we can more easily interpret and analyze the data they represent.</w:t>
      </w:r>
    </w:p>
    <w:p w:rsidR="00000000" w:rsidDel="00000000" w:rsidP="00000000" w:rsidRDefault="00000000" w:rsidRPr="00000000" w14:paraId="00000010">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160" w:line="259" w:lineRule="auto"/>
        <w:jc w:val="both"/>
        <w:rPr>
          <w:rFonts w:ascii="Quattrocento Sans" w:cs="Quattrocento Sans" w:eastAsia="Quattrocento Sans" w:hAnsi="Quattrocento Sans"/>
          <w:highlight w:val="white"/>
        </w:rPr>
      </w:pPr>
      <w:r w:rsidDel="00000000" w:rsidR="00000000" w:rsidRPr="00000000">
        <w:rPr>
          <w:rtl w:val="0"/>
        </w:rPr>
      </w:r>
    </w:p>
    <w:p w:rsidR="00000000" w:rsidDel="00000000" w:rsidP="00000000" w:rsidRDefault="00000000" w:rsidRPr="00000000" w14:paraId="00000012">
      <w:pPr>
        <w:spacing w:after="160" w:line="259" w:lineRule="auto"/>
        <w:jc w:val="both"/>
        <w:rPr>
          <w:rFonts w:ascii="Quattrocento Sans" w:cs="Quattrocento Sans" w:eastAsia="Quattrocento Sans" w:hAnsi="Quattrocento Sans"/>
          <w:highlight w:val="white"/>
        </w:rPr>
      </w:pPr>
      <w:r w:rsidDel="00000000" w:rsidR="00000000" w:rsidRPr="00000000">
        <w:rPr>
          <w:rtl w:val="0"/>
        </w:rPr>
      </w:r>
    </w:p>
    <w:p w:rsidR="00000000" w:rsidDel="00000000" w:rsidP="00000000" w:rsidRDefault="00000000" w:rsidRPr="00000000" w14:paraId="00000013">
      <w:pPr>
        <w:spacing w:after="160" w:line="259" w:lineRule="auto"/>
        <w:jc w:val="both"/>
        <w:rPr/>
      </w:pPr>
      <w:r w:rsidDel="00000000" w:rsidR="00000000" w:rsidRPr="00000000">
        <w:rPr>
          <w:rFonts w:ascii="Quattrocento Sans" w:cs="Quattrocento Sans" w:eastAsia="Quattrocento Sans" w:hAnsi="Quattrocento Sans"/>
          <w:highlight w:val="white"/>
          <w:rtl w:val="0"/>
        </w:rPr>
        <w:t xml:space="preserve">Do you not know that the unrighteous will not inherit the kingdom of God? Do not be deceived. Neither fornicators, nor idolaters, nor adulterers, </w:t>
      </w:r>
      <w:r w:rsidDel="00000000" w:rsidR="00000000" w:rsidRPr="00000000">
        <w:rPr>
          <w:rFonts w:ascii="Quattrocento Sans" w:cs="Quattrocento Sans" w:eastAsia="Quattrocento Sans" w:hAnsi="Quattrocento Sans"/>
          <w:b w:val="1"/>
          <w:highlight w:val="white"/>
          <w:rtl w:val="0"/>
        </w:rPr>
        <w:t xml:space="preserve">nor homosexuals, nor sodomites</w:t>
      </w:r>
      <w:r w:rsidDel="00000000" w:rsidR="00000000" w:rsidRPr="00000000">
        <w:rPr>
          <w:rFonts w:ascii="Quattrocento Sans" w:cs="Quattrocento Sans" w:eastAsia="Quattrocento Sans" w:hAnsi="Quattrocento Sans"/>
          <w:highlight w:val="white"/>
          <w:rtl w:val="0"/>
        </w:rPr>
        <w:t xml:space="preserve">, nor thieves, nor covetous, nor drunkards, nor revilers, nor extortioners </w:t>
      </w:r>
      <w:r w:rsidDel="00000000" w:rsidR="00000000" w:rsidRPr="00000000">
        <w:rPr>
          <w:rFonts w:ascii="Quattrocento Sans" w:cs="Quattrocento Sans" w:eastAsia="Quattrocento Sans" w:hAnsi="Quattrocento Sans"/>
          <w:highlight w:val="white"/>
          <w:u w:val="single"/>
          <w:rtl w:val="0"/>
        </w:rPr>
        <w:t xml:space="preserve">will inherit the kingdom of God</w:t>
      </w:r>
      <w:r w:rsidDel="00000000" w:rsidR="00000000" w:rsidRPr="00000000">
        <w:rPr>
          <w:rFonts w:ascii="Quattrocento Sans" w:cs="Quattrocento Sans" w:eastAsia="Quattrocento Sans" w:hAnsi="Quattrocento Sans"/>
          <w:highlight w:val="white"/>
          <w:rtl w:val="0"/>
        </w:rPr>
        <w:t xml:space="preserve">. 1 Corinthians 6:9-10</w:t>
      </w:r>
      <w:r w:rsidDel="00000000" w:rsidR="00000000" w:rsidRPr="00000000">
        <w:rPr>
          <w:rtl w:val="0"/>
        </w:rPr>
      </w:r>
    </w:p>
    <w:sectPr>
      <w:headerReference r:id="rId7" w:type="default"/>
      <w:footerReference r:id="rId8" w:type="default"/>
      <w:pgSz w:h="16834" w:w="11909" w:orient="portrait"/>
      <w:pgMar w:bottom="1440" w:top="1440" w:left="992.1259842519685" w:right="99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highlight w:val="white"/>
        <w:rtl w:val="0"/>
      </w:rPr>
      <w:tab/>
      <w:t xml:space="preserve">       He who believes in the Son has everlasting life; and he who does not believe the Son shall not see life, but the wrath of God abides on him.” </w:t>
    </w:r>
    <w:r w:rsidDel="00000000" w:rsidR="00000000" w:rsidRPr="00000000">
      <w:rPr>
        <w:rFonts w:ascii="Times New Roman" w:cs="Times New Roman" w:eastAsia="Times New Roman" w:hAnsi="Times New Roman"/>
        <w:sz w:val="24"/>
        <w:szCs w:val="24"/>
        <w:highlight w:val="white"/>
        <w:rtl w:val="0"/>
      </w:rPr>
      <w:t xml:space="preserve">John 3:36</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 w:val="right" w:leader="none"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And we know that the Son of God has come and has given us an understanding, that we may know Him who is true; and we are in Him who is true, in </w:t>
    </w:r>
    <w:r w:rsidDel="00000000" w:rsidR="00000000" w:rsidRPr="00000000">
      <w:rPr>
        <w:rFonts w:ascii="Times New Roman" w:cs="Times New Roman" w:eastAsia="Times New Roman" w:hAnsi="Times New Roman"/>
        <w:b w:val="1"/>
        <w:highlight w:val="white"/>
        <w:rtl w:val="0"/>
      </w:rPr>
      <w:t xml:space="preserve">His Son </w:t>
    </w:r>
    <w:r w:rsidDel="00000000" w:rsidR="00000000" w:rsidRPr="00000000">
      <w:rPr>
        <w:rFonts w:ascii="Times New Roman" w:cs="Times New Roman" w:eastAsia="Times New Roman" w:hAnsi="Times New Roman"/>
        <w:b w:val="1"/>
        <w:highlight w:val="white"/>
        <w:u w:val="single"/>
        <w:rtl w:val="0"/>
      </w:rPr>
      <w:t xml:space="preserve">Jesus Christ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This is the </w:t>
    </w:r>
    <w:r w:rsidDel="00000000" w:rsidR="00000000" w:rsidRPr="00000000">
      <w:rPr>
        <w:rFonts w:ascii="Times New Roman" w:cs="Times New Roman" w:eastAsia="Times New Roman" w:hAnsi="Times New Roman"/>
        <w:b w:val="1"/>
        <w:highlight w:val="white"/>
        <w:u w:val="single"/>
        <w:rtl w:val="0"/>
      </w:rPr>
      <w:t xml:space="preserve">true God</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highlight w:val="white"/>
        <w:u w:val="single"/>
        <w:rtl w:val="0"/>
      </w:rPr>
      <w:t xml:space="preserve">eternal life</w:t>
    </w:r>
    <w:r w:rsidDel="00000000" w:rsidR="00000000" w:rsidRPr="00000000">
      <w:rPr>
        <w:rFonts w:ascii="Times New Roman" w:cs="Times New Roman" w:eastAsia="Times New Roman" w:hAnsi="Times New Roman"/>
        <w:highlight w:val="white"/>
        <w:rtl w:val="0"/>
      </w:rPr>
      <w:t xml:space="preserve">. 1 John 5:20</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